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180" w:firstLine="0"/>
        <w:jc w:val="center"/>
        <w:rPr>
          <w:rFonts w:ascii="Times New Roman" w:cs="Times New Roman" w:eastAsia="Times New Roman" w:hAnsi="Times New Roman"/>
          <w:b w:val="1"/>
          <w:i w:val="1"/>
          <w:smallCaps w:val="0"/>
          <w:strike w:val="0"/>
          <w:color w:val="000000"/>
          <w:sz w:val="36"/>
          <w:szCs w:val="36"/>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36"/>
          <w:szCs w:val="36"/>
          <w:u w:val="single"/>
          <w:shd w:fill="auto" w:val="clear"/>
          <w:vertAlign w:val="baseline"/>
          <w:rtl w:val="0"/>
        </w:rPr>
        <w:t xml:space="preserve">3.5.1 - South Asian Influence on the Civil Rights Movement</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3">
      <w:pPr>
        <w:spacing w:after="120" w:lineRule="auto"/>
        <w:ind w:left="720" w:right="900" w:firstLine="0"/>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This content was created using source materials from the South Asian American Digital Archive (SAADA). All lesson plan content is owned by The Asian American Education Project (AAEdu). As such, users agree to attribute all work to The Asian American Education Project and South Asian American Digital Archive.</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720" w:right="900" w:firstLine="0"/>
        <w:jc w:val="cente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225.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905"/>
        <w:gridCol w:w="7320"/>
        <w:tblGridChange w:id="0">
          <w:tblGrid>
            <w:gridCol w:w="1905"/>
            <w:gridCol w:w="7320"/>
          </w:tblGrid>
        </w:tblGridChange>
      </w:tblGrid>
      <w:tr>
        <w:trPr>
          <w:cantSplit w:val="0"/>
          <w:trHeight w:val="251"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2"/>
                <w:szCs w:val="22"/>
                <w:u w:val="none"/>
                <w:shd w:fill="auto" w:val="clear"/>
                <w:vertAlign w:val="baseline"/>
                <w:rtl w:val="0"/>
              </w:rPr>
              <w:t xml:space="preserve">Grade Levels </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6-12</w:t>
            </w:r>
            <w:r w:rsidDel="00000000" w:rsidR="00000000" w:rsidRPr="00000000">
              <w:rPr>
                <w:rtl w:val="0"/>
              </w:rPr>
            </w:r>
          </w:p>
        </w:tc>
      </w:tr>
      <w:tr>
        <w:trPr>
          <w:cantSplit w:val="0"/>
          <w:trHeight w:val="1451"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2"/>
                <w:szCs w:val="22"/>
                <w:u w:val="none"/>
                <w:shd w:fill="auto" w:val="clear"/>
                <w:vertAlign w:val="baseline"/>
                <w:rtl w:val="0"/>
              </w:rPr>
              <w:t xml:space="preserve">Lesson Overview</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While many may be familiar with Mahatma Gandhi’s influence on Dr. Martin Luther King, Jr., the impactful history South Asians on the Civil Rights Movement is largely untold. In this lesson, students will explore historical examples of South Asian American immigrants whose writing and ideas influenced civil rights activists. Students will consider how ideas about nonviolence shaped civil rights political strategy in the United States. </w:t>
            </w:r>
            <w:r w:rsidDel="00000000" w:rsidR="00000000" w:rsidRPr="00000000">
              <w:rPr>
                <w:rtl w:val="0"/>
              </w:rPr>
            </w:r>
          </w:p>
        </w:tc>
      </w:tr>
      <w:tr>
        <w:trPr>
          <w:cantSplit w:val="0"/>
          <w:trHeight w:val="1211"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2"/>
                <w:szCs w:val="22"/>
                <w:u w:val="none"/>
                <w:shd w:fill="auto" w:val="clear"/>
                <w:vertAlign w:val="baseline"/>
                <w:rtl w:val="0"/>
              </w:rPr>
              <w:t xml:space="preserve">Lesson Objectives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be able to:</w:t>
            </w:r>
          </w:p>
          <w:p w:rsidR="00000000" w:rsidDel="00000000" w:rsidP="00000000" w:rsidRDefault="00000000" w:rsidRPr="00000000" w14:paraId="0000000D">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Examine the influence of South Asian immigrants on the formation and political strategy of the Civil Rights Movement</w:t>
            </w:r>
          </w:p>
          <w:p w:rsidR="00000000" w:rsidDel="00000000" w:rsidP="00000000" w:rsidRDefault="00000000" w:rsidRPr="00000000" w14:paraId="0000000E">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Identify historical examples of how South Asian individuals influenced civil rights leaders, and consider why this history is not well-known</w:t>
            </w:r>
          </w:p>
        </w:tc>
      </w:tr>
    </w:tbl>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Instruction Consideration:</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This mini unit is not intended to be completed in one instructional session. It is a resource for educators to implement as they see fit. AAEdu recommends focusing on the discussion questions and instructional activities if teaching in a shorter period (one to two instructional sessions.) Incorporate one or more extension activities if using a longer period (five or more sessions.)</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South Asian Influence on the Civil Rights Movement Essay:</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the 1960s, the United States was immersed in the Civil Rights Movement, a struggle for justice and equal rights led by Black Americans. Dr. Martin Luther King, Jr. (1929-1968) is widely recognized as one of the leaders of the movement, and Dr. King has often credited Mahatma Gandhi (1869-1948) as a major source of inspiration. Gandhi led a movement to liberate India from British colonial rule and espoused the idea of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nonviolence.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King embraced Gandhi’s nonviolent philosophy.</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Gandhi however was not the only South Asian influence on the Civil Rights Movement. Manmatha Nath Chatterjee (1888-1964) and Krishnalal Shridharani (1911-1960), two South Asian American activists, also played important roles in this fight for liberation.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Manmatha Nath Chatterjee was </w:t>
      </w:r>
      <w:r w:rsidDel="00000000" w:rsidR="00000000" w:rsidRPr="00000000">
        <w:rPr>
          <w:sz w:val="22"/>
          <w:szCs w:val="22"/>
          <w:rtl w:val="0"/>
        </w:rPr>
        <w:t xml:space="preserve">born in India.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He was a personal friend and confidant to Gandhi. Chatterjee attended universities in Scotland, Germany, and the United States, and was a professor of Social Sciences at Antioch College in Yellow Springs, Ohio for thirty-one years. Based on his lived experiences in India, Europe, and the U.S., Chatterjee had a deep understanding of both the East and the West. </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While a professor at Antioch College, Chatterjee helped six white students establish Ahimsa Farm in Yellow Springs, an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ashram</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cooperative community based on Gandhi’s teachings. Students studied nightly and engaged in lively political discussions. Although Ahimsa Farm welcomed people of all races to join, it was never integrated. Members of the group, however, participated in other causes, most notably the years-long campaign to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desegregate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the swimming pool at Garfield Park in Cleveland, Ohio. In 1941, Black and white students entered the pool together as an act of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nonviolent direct action</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against segregation. They were met with aggression from many white swimmers but continued the protest throughout the summer. The Garfield Park protest served as a model for the Congress of Racial Equality (CORE), a civil rights organization with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pacifist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roots. CORE sought to use nonviolent direct action to fight racism and encourage cooperation between interracial communities, a significant tactic used in the larger Civil Rights Movement as well. Members of CORE later took over the leadership of the Garfield Park protests, and the pool was finally desegregated in 1948. </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Another South Asian who influenced the Civil Rights Movement was Krishnalal Shridharani. Born in 1911 in Umrala, an Indian village near the city of Bhavnagar, Shridharani was a journalist and poet who spent twelve years studying in the United States. A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disciple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of Gandhi, he participated in the 1930 Salt March alongside thousands of other Indians. Led by Gandhi, the Salt March was an act of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nonviolent civil disobedience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protest of a “salt tax” Great Britain imposed on India. At the time, India was a British colony and prohibited Indians from collecting or selling their own salt, instead, forcing them to buy it from Britain with a heavy tax. The Salt March lasted almost a month and covered 240 miles. Following the Salt March, some marchers raided a salt depot in Dharasana to continue their protest. Many protesters, including Shridharani, were arrested and spent three months in jail. </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Shridharani attended university in India, then came to the U.S. in 1934 and earned three degrees from New York University and Columbia University. His 1939 book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War Without Violence: The Sociology of Ghandi’s Satyagraha</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was widely studied by civil rights activists. In his book, Shridharani discussed Gandhi’s teachings and detailed the idea of direct action. Calling for “direct action just short of war,” Shridharani viewed nonviolent direct action as an alternative method of aggression. Rather than making a moral argument in favor of pacifism, he viewed nonviolent direct action as a more efficient and less destructive way to negotiate with an opponent. The philosophy outlined in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War Without Violence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was instrumental in making nonviolence a core tenet of the Civil Rights Movement. </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Shridharani’s work was read by Bayard Rustin, a civil rights activist who worked with Dr. King as a political strategist. Rustin said “Shridharani’s book became our gospel, our bible.” Shridharani’s work was also very influential in creating CORE, which Rustin co-founded. Drawing on Shridarani’s writing, CORE favored nonviolent direct action as a political strategy to challenge racial segregation. Rather than making moral arguments for desegregation, leaders like Rustin formed interracial coalitions to directly challenge segregated institutions. For example, Rustin and other civil rights activists such as A. Philip Randolph, organized the 1941 March on Washington Movement, mass marches in Washington, D.C. aimed at pushing President Franklin D. Roosevelt’s administration towards military desegregation. </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Shridharani also became friends with James Farmer, another CORE co-founder, and was invited by Farmer to be a guest speaker for CORE’s first national conference in 1943. Farmer later became the director of CORE during the Freedom Rides of 1961, an organized action in which Black and white riders took bus trips through the American South to protest segregated bus terminals. Farmer and other organizers used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War Without Violence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 part of their teaching materials for the Freedom Riders. </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Chatterjee and Shridharani are just a few of the South Asian scholars and activists who influenced the Civil Rights Movement. The work and influence of many others has not been well-documented. It is important to recognize that while the Civil Rights Movement was a Black-led movement focused on Black liberation, many members of oppressed groups worked in solidarity. Reciprocally, Black liberation movements have also heavily influenced Asian American movements throughout American history. </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Bibliography:</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“Congress of Racial Equality (CORE).” Stanford University - The Martin Luther King, Jr. Research and </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Education Institute. Webpage: </w:t>
      </w:r>
      <w:hyperlink r:id="rId7">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kinginstitute.stanford.edu/encyclopedia/congress-racial-equality-core</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Elam, Daniel J. (2015). “Translating Gandhi.” SAADA. Webpage: </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hyperlink r:id="rId8">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www.saada.org/tides/article/translating-gandhi</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1"/>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Freiss, Horace L. (1941). “Review of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War Without Violence. A Study of Gandhi's Method and its </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firstLine="0"/>
        <w:jc w:val="left"/>
        <w:rPr>
          <w:rFonts w:ascii="Times New Roman" w:cs="Times New Roman" w:eastAsia="Times New Roman" w:hAnsi="Times New Roman"/>
          <w:b w:val="0"/>
          <w:i w:val="0"/>
          <w:smallCaps w:val="0"/>
          <w:strike w:val="0"/>
          <w:color w:val="1155cc"/>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Accomplishments </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by Krishnalal Shridharani.”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Social Research</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Vol. 8, No. 2, pp. 247-250. Webpage: </w:t>
      </w:r>
      <w:hyperlink r:id="rId9">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www.jstor.org/stable/40981775</w:t>
        </w:r>
      </w:hyperlink>
      <w:r w:rsidDel="00000000" w:rsidR="00000000" w:rsidRPr="00000000">
        <w:rPr>
          <w:rFonts w:ascii="Times New Roman" w:cs="Times New Roman" w:eastAsia="Times New Roman" w:hAnsi="Times New Roman"/>
          <w:b w:val="0"/>
          <w:i w:val="0"/>
          <w:smallCaps w:val="0"/>
          <w:strike w:val="0"/>
          <w:color w:val="1155cc"/>
          <w:sz w:val="22"/>
          <w:szCs w:val="22"/>
          <w:u w:val="none"/>
          <w:shd w:fill="auto" w:val="clear"/>
          <w:vertAlign w:val="baseline"/>
          <w:rtl w:val="0"/>
        </w:rPr>
        <w:t xml:space="preserve">.</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“Glossary of Nonviolence.” The King Center. Webpage: </w:t>
      </w:r>
      <w:hyperlink r:id="rId10">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thekingcenter.org/about-tkc/glossary-of-nonviolence/</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hanging="18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History.com Editors. (2022). “Salt March.” HISTORY. Webpage: </w:t>
      </w:r>
      <w:hyperlink r:id="rId11">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www.history.com/topics/india/salt-march</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hanging="18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Iyengar, Malathi. (2022). “Activist, Scholar, Dandy: Krishnalal Shridharani in the United States, </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40" w:right="0" w:hanging="36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1934-1946.” SAADA. Webpage: </w:t>
      </w:r>
      <w:hyperlink r:id="rId12">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www.saada.org/tides/article/activist-scholar-dandy</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hanging="18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“Krishnalal Shridharani Dies; Indian Journalist and Author.”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The New York Times</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24 July 1960 p. 64. Webpage: </w:t>
      </w:r>
      <w:hyperlink r:id="rId13">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https://timesmachine.nytimes.com/timesmachine/1960/07/24/99764348.html?pageNumber=64</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Modi, Chintan Giris. (2022). “Mahatma Gandhi, Bayard Rustin and the making of an American</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40" w:right="0" w:hanging="36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pacificist.”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News Nine</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Webpage: </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40" w:right="0" w:hanging="360"/>
        <w:jc w:val="left"/>
        <w:rPr>
          <w:rFonts w:ascii="Times New Roman" w:cs="Times New Roman" w:eastAsia="Times New Roman" w:hAnsi="Times New Roman"/>
          <w:b w:val="0"/>
          <w:i w:val="0"/>
          <w:smallCaps w:val="0"/>
          <w:strike w:val="0"/>
          <w:color w:val="303336"/>
          <w:sz w:val="22"/>
          <w:szCs w:val="22"/>
          <w:u w:val="none"/>
          <w:shd w:fill="auto" w:val="clear"/>
          <w:vertAlign w:val="baseline"/>
        </w:rPr>
      </w:pPr>
      <w:hyperlink r:id="rId14">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https://www.news9live.com/art-culture/gandhi-statue-union-square-new-york-city-defaced-vandalised-bayard-rustin-martin-luther-king-jr-american-civil-rights-152479</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80" w:right="0" w:hanging="18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SAADA (2015). “Your Dream is Our Dream.” SAADA. Webpage: </w:t>
      </w:r>
      <w:hyperlink r:id="rId15">
        <w:r w:rsidDel="00000000" w:rsidR="00000000" w:rsidRPr="00000000">
          <w:rPr>
            <w:rFonts w:ascii="Times New Roman" w:cs="Times New Roman" w:eastAsia="Times New Roman" w:hAnsi="Times New Roman"/>
            <w:b w:val="0"/>
            <w:i w:val="0"/>
            <w:smallCaps w:val="0"/>
            <w:strike w:val="0"/>
            <w:color w:val="0000ff"/>
            <w:sz w:val="22"/>
            <w:szCs w:val="22"/>
            <w:u w:val="single"/>
            <w:shd w:fill="auto" w:val="clear"/>
            <w:vertAlign w:val="baseline"/>
            <w:rtl w:val="0"/>
          </w:rPr>
          <w:t xml:space="preserve">https://www.saada.org/tides/article/your-dream-is-our-dream</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1"/>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Slate, Nico. (2021). “The Civil Rights Movement.”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Our Stories: An Introduction to South Asian America. </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40" w:right="0" w:hanging="36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SAADA, pp. 254-263. </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Tate, Merze. (1954). “Manmatha Nath Chatterjee,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Out of Confusion</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The Journal of Negro History, </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vol. </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40" w:right="0" w:hanging="36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38, no. 5, pp. 220-221. </w:t>
      </w:r>
      <w:hyperlink r:id="rId16">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https://www.journals.uchicago.edu/doi/10.2307/2715843</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Times New Roman" w:cs="Times New Roman" w:eastAsia="Times New Roman" w:hAnsi="Times New Roman"/>
          <w:b w:val="0"/>
          <w:i w:val="1"/>
          <w:smallCaps w:val="0"/>
          <w:strike w:val="0"/>
          <w:color w:val="303336"/>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Wolcott, Victoria W. (2022). "Chapter 5 The Pacifists."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Living in the Future: Utopianism and the Long</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54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Civil Rights Movement</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Chicago: University of Chicago Press, pp. 147-176.</w:t>
      </w: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superscript"/>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Vocabulary:</w:t>
      </w: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superscript"/>
          <w:rtl w:val="0"/>
        </w:rPr>
        <w:t xml:space="preserve">1</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Note to teachers: If needed, frontload the vocabulary with students before the reading.</w:t>
      </w:r>
    </w:p>
    <w:p w:rsidR="00000000" w:rsidDel="00000000" w:rsidP="00000000" w:rsidRDefault="00000000" w:rsidRPr="00000000" w14:paraId="0000004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Ashram</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 secluded dwelling of a Hindu sage</w:t>
      </w:r>
      <w:r w:rsidDel="00000000" w:rsidR="00000000" w:rsidRPr="00000000">
        <w:rPr>
          <w:rtl w:val="0"/>
        </w:rPr>
      </w:r>
    </w:p>
    <w:p w:rsidR="00000000" w:rsidDel="00000000" w:rsidP="00000000" w:rsidRDefault="00000000" w:rsidRPr="00000000" w14:paraId="0000004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Desegregate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eliminate segregation by race</w:t>
      </w: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Disciple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 person who assists in spreading the doctrine of another person</w:t>
      </w: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Nonviolence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abstaining from violence as a matter of principle</w:t>
      </w:r>
      <w:r w:rsidDel="00000000" w:rsidR="00000000" w:rsidRPr="00000000">
        <w:rPr>
          <w:rtl w:val="0"/>
        </w:rPr>
      </w:r>
    </w:p>
    <w:p w:rsidR="00000000" w:rsidDel="00000000" w:rsidP="00000000" w:rsidRDefault="00000000" w:rsidRPr="00000000" w14:paraId="0000004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Nonviolent direct action</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nonviolent resistance to injustice. More than 250 forms of nonviolent direct action have been identified, including marches, boycotts, picketing, sit-ins and prayer vigils, to name a few**</w:t>
      </w:r>
      <w:r w:rsidDel="00000000" w:rsidR="00000000" w:rsidRPr="00000000">
        <w:rPr>
          <w:rtl w:val="0"/>
        </w:rPr>
      </w:r>
    </w:p>
    <w:p w:rsidR="00000000" w:rsidDel="00000000" w:rsidP="00000000" w:rsidRDefault="00000000" w:rsidRPr="00000000" w14:paraId="0000004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Nonviolent civil disobedience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the act of openly disobeying an unjust, immoral or unconstitutional law as a matter of conscience, and accepting the consequences, including submitting to imprisonment if necessary; to protest an injustice**</w:t>
      </w:r>
      <w:r w:rsidDel="00000000" w:rsidR="00000000" w:rsidRPr="00000000">
        <w:rPr>
          <w:rtl w:val="0"/>
        </w:rPr>
      </w:r>
    </w:p>
    <w:p w:rsidR="00000000" w:rsidDel="00000000" w:rsidP="00000000" w:rsidRDefault="00000000" w:rsidRPr="00000000" w14:paraId="0000004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Pacifist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 person who opposes war or violence as a means of settling disputes</w:t>
      </w: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superscript"/>
          <w:rtl w:val="0"/>
        </w:rPr>
        <w:t xml:space="preserve">1</w:t>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Definitions adapted from Merriam-Webster Dictionary, unless noted otherwise </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Definition adapted from </w:t>
      </w:r>
      <w:hyperlink r:id="rId17">
        <w:r w:rsidDel="00000000" w:rsidR="00000000" w:rsidRPr="00000000">
          <w:rPr>
            <w:rFonts w:ascii="Times New Roman" w:cs="Times New Roman" w:eastAsia="Times New Roman" w:hAnsi="Times New Roman"/>
            <w:b w:val="0"/>
            <w:i w:val="0"/>
            <w:smallCaps w:val="0"/>
            <w:strike w:val="0"/>
            <w:color w:val="1155cc"/>
            <w:sz w:val="18"/>
            <w:szCs w:val="18"/>
            <w:u w:val="single"/>
            <w:shd w:fill="auto" w:val="clear"/>
            <w:vertAlign w:val="baseline"/>
            <w:rtl w:val="0"/>
          </w:rPr>
          <w:t xml:space="preserve">https://thekingcenter.org/about-tkc/glossary-of-nonviolence/</w:t>
        </w:r>
      </w:hyperlink>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Discussion Questions:</w:t>
      </w:r>
    </w:p>
    <w:p w:rsidR="00000000" w:rsidDel="00000000" w:rsidP="00000000" w:rsidRDefault="00000000" w:rsidRPr="00000000" w14:paraId="0000004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Manmatha Nath Chatterjee and Krishnalal Shridharani, two South Asian American activists, influence the Black-led Civil Rights Movement? </w:t>
      </w:r>
    </w:p>
    <w:p w:rsidR="00000000" w:rsidDel="00000000" w:rsidP="00000000" w:rsidRDefault="00000000" w:rsidRPr="00000000" w14:paraId="0000004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Shridharani’s activism in India influence his thinking and writing in the United States? </w:t>
      </w:r>
    </w:p>
    <w:p w:rsidR="00000000" w:rsidDel="00000000" w:rsidP="00000000" w:rsidRDefault="00000000" w:rsidRPr="00000000" w14:paraId="0000004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the concept of nonviolence fit into both the Indian struggle for independence from British colonization and the Black struggle for equal rights in the United States?</w:t>
      </w:r>
    </w:p>
    <w:p w:rsidR="00000000" w:rsidDel="00000000" w:rsidP="00000000" w:rsidRDefault="00000000" w:rsidRPr="00000000" w14:paraId="0000004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Why do you think Mahatma Gandhi’s influence on Dr. Martin Luther King, Jr. is well-known, but the influence of other South Asian thinkers, such as Chatterjee and Shridharani, is less known?</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Activity 1:</w:t>
      </w:r>
      <w:r w:rsidDel="00000000" w:rsidR="00000000" w:rsidRPr="00000000">
        <w:rPr>
          <w:rFonts w:ascii="Times New Roman" w:cs="Times New Roman" w:eastAsia="Times New Roman" w:hAnsi="Times New Roman"/>
          <w:b w:val="1"/>
          <w:i w:val="1"/>
          <w:smallCaps w:val="0"/>
          <w:strike w:val="0"/>
          <w:color w:val="000000"/>
          <w:sz w:val="22"/>
          <w:szCs w:val="22"/>
          <w:u w:val="singl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Nonviolence in the Civil Rights Movement</w:t>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be introduced to the concept of nonviolence and share their prior knowledge about the Civil Rights Movement. </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what they know about the Civil Rights Movement:</w:t>
      </w:r>
    </w:p>
    <w:p w:rsidR="00000000" w:rsidDel="00000000" w:rsidP="00000000" w:rsidRDefault="00000000" w:rsidRPr="00000000" w14:paraId="00000054">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Who was involved in the Civil Rights Movement? What names come to mind?</w:t>
      </w:r>
    </w:p>
    <w:p w:rsidR="00000000" w:rsidDel="00000000" w:rsidP="00000000" w:rsidRDefault="00000000" w:rsidRPr="00000000" w14:paraId="00000055">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What were the goals of the Civil Rights Movement?</w:t>
      </w:r>
    </w:p>
    <w:p w:rsidR="00000000" w:rsidDel="00000000" w:rsidP="00000000" w:rsidRDefault="00000000" w:rsidRPr="00000000" w14:paraId="00000056">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What strategies or tactics were used to achieve those goals?</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what they think the term “nonviolence”</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means in general and, more specifically, as a political strategy. </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Watch the video, </w:t>
      </w:r>
      <w:hyperlink r:id="rId18">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US Civil Rights Movement Benefits From Non-Violent Strategy</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br w:type="textWrapping"/>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Note to teachers: Video contains images and discussions of police violence and racial violence. Provide a content warning to students.</w:t>
      </w: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students: “What are the pros and cons of nonviolence as a political strategy?” List student responses on a T-chart with “Pros” on the left column and “Cons” on the right column. </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Explain that </w:t>
      </w:r>
      <w:hyperlink r:id="rId19">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The King Center</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defines nonviolent direct action</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 “Nonviolent resistance to injustice. More than 250 forms of nonviolent direct action have been identified, including marches, boycotts, picketing, sit-ins and prayer vigils, to name a few.” Have students give specific historical examples of each action.</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Explain that nonviolence was a key strategy of the Civil Rights Movement championed by leaders like Dr. Martin Luther King, Jr., but not all civil rights leaders agreed that it was the best strategy. </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Explain that this lesson explores some of the roots of nonviolence in the Civil Rights Movement, specifically looking at less-known South Asian scholar-activists who helped spread these ideas to various civil rights leaders.</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Activity 2:</w:t>
      </w:r>
      <w:r w:rsidDel="00000000" w:rsidR="00000000" w:rsidRPr="00000000">
        <w:rPr>
          <w:rFonts w:ascii="Times New Roman" w:cs="Times New Roman" w:eastAsia="Times New Roman" w:hAnsi="Times New Roman"/>
          <w:b w:val="1"/>
          <w:i w:val="1"/>
          <w:smallCaps w:val="0"/>
          <w:strike w:val="0"/>
          <w:color w:val="000000"/>
          <w:sz w:val="22"/>
          <w:szCs w:val="22"/>
          <w:u w:val="singl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Analyzing South Asian Influence on the Civil Rights Movement</w:t>
      </w: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learn about specific South Asian leaders and how their beliefs or actions influenced the Black Civil Rights Movement in America.</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read the </w:t>
      </w:r>
      <w:hyperlink r:id="rId20">
        <w:r w:rsidDel="00000000" w:rsidR="00000000" w:rsidRPr="00000000">
          <w:rPr>
            <w:rFonts w:ascii="Times New Roman" w:cs="Times New Roman" w:eastAsia="Times New Roman" w:hAnsi="Times New Roman"/>
            <w:b w:val="0"/>
            <w:i w:val="1"/>
            <w:smallCaps w:val="0"/>
            <w:strike w:val="0"/>
            <w:color w:val="1155cc"/>
            <w:sz w:val="22"/>
            <w:szCs w:val="22"/>
            <w:u w:val="single"/>
            <w:shd w:fill="auto" w:val="clear"/>
            <w:vertAlign w:val="baseline"/>
            <w:rtl w:val="0"/>
          </w:rPr>
          <w:t xml:space="preserve">South Asian Influence on the Civil Rights Movement Essay</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and complete </w:t>
      </w:r>
      <w:hyperlink r:id="rId21">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The South Asian Influence - Note-Taking Worksheet</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After reading the essay, discuss it as a class using the </w:t>
      </w:r>
      <w:hyperlink r:id="rId22">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4C’s Thinking Routine</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68">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Connections: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What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connections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do you draw between the text and your own life or your other learning?</w:t>
      </w:r>
    </w:p>
    <w:p w:rsidR="00000000" w:rsidDel="00000000" w:rsidP="00000000" w:rsidRDefault="00000000" w:rsidRPr="00000000" w14:paraId="00000069">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this essay connect with what you already knew about the Civil Rights Movement?</w:t>
      </w:r>
    </w:p>
    <w:p w:rsidR="00000000" w:rsidDel="00000000" w:rsidP="00000000" w:rsidRDefault="00000000" w:rsidRPr="00000000" w14:paraId="0000006A">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can you connect this essay to your own personal experiences?</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Challenge: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What ideas, positions, or assumptions do you want to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challenge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or argue with in the text?</w:t>
      </w:r>
    </w:p>
    <w:p w:rsidR="00000000" w:rsidDel="00000000" w:rsidP="00000000" w:rsidRDefault="00000000" w:rsidRPr="00000000" w14:paraId="0000006D">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What do you think about the efficacy of nonviolence as a political strategy to achieve liberation and justice?</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Concepts: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What key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concepts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or ideas do you think are important and worth holding onto from the text?</w:t>
      </w:r>
    </w:p>
    <w:p w:rsidR="00000000" w:rsidDel="00000000" w:rsidP="00000000" w:rsidRDefault="00000000" w:rsidRPr="00000000" w14:paraId="00000070">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What did you learn about nonviolence? About civil rights? About community organizing?</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Changes: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What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changes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attitudes, thinking, or action are suggested by the text, either for you or others?</w:t>
      </w:r>
    </w:p>
    <w:p w:rsidR="00000000" w:rsidDel="00000000" w:rsidP="00000000" w:rsidRDefault="00000000" w:rsidRPr="00000000" w14:paraId="00000073">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this essay change how you think or talk about the story of the Civil Rights Movement?</w:t>
      </w:r>
    </w:p>
    <w:p w:rsidR="00000000" w:rsidDel="00000000" w:rsidP="00000000" w:rsidRDefault="00000000" w:rsidRPr="00000000" w14:paraId="00000074">
      <w:pPr>
        <w:keepNext w:val="0"/>
        <w:keepLines w:val="0"/>
        <w:pageBreakBefore w:val="0"/>
        <w:widowControl w:val="1"/>
        <w:numPr>
          <w:ilvl w:val="2"/>
          <w:numId w:val="4"/>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Why do you think we don’t know much about the South Asian influence on civil rights?</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Distribute </w:t>
      </w:r>
      <w:hyperlink r:id="rId23">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South Asian Influence on the Civil Rights Movement Worksheet </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to students. </w:t>
      </w:r>
    </w:p>
    <w:p w:rsidR="00000000" w:rsidDel="00000000" w:rsidP="00000000" w:rsidRDefault="00000000" w:rsidRPr="00000000" w14:paraId="00000077">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work in small groups or independently to complete each row on Gandhi, Chatterjee, and Shridharani. Or, split the class into three groups and have each group complete one row and then share out to the whole class.</w:t>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Activity 3:</w:t>
      </w:r>
      <w:r w:rsidDel="00000000" w:rsidR="00000000" w:rsidRPr="00000000">
        <w:rPr>
          <w:rFonts w:ascii="Times New Roman" w:cs="Times New Roman" w:eastAsia="Times New Roman" w:hAnsi="Times New Roman"/>
          <w:b w:val="1"/>
          <w:i w:val="1"/>
          <w:smallCaps w:val="0"/>
          <w:strike w:val="0"/>
          <w:color w:val="000000"/>
          <w:sz w:val="22"/>
          <w:szCs w:val="22"/>
          <w:u w:val="singl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South Asian American Biographies</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conduct further research on South Asian leaders who influenced the Civil Rights Movement and analyze their goals for racial equality. </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Explain to students that they will work in small groups to read about one of two other South Asian individuals who influenced the Civil Rights Movement: Kamaladevi Chattopadhyay (1903-1988) and Ram Bagai (1914-2000). </w:t>
      </w: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Divide students into two groups:</w:t>
      </w:r>
      <w:r w:rsidDel="00000000" w:rsidR="00000000" w:rsidRPr="00000000">
        <w:rPr>
          <w:rtl w:val="0"/>
        </w:rPr>
      </w:r>
    </w:p>
    <w:p w:rsidR="00000000" w:rsidDel="00000000" w:rsidP="00000000" w:rsidRDefault="00000000" w:rsidRPr="00000000" w14:paraId="0000007F">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Group 1: Kamaladevi Chattopadhyay</w:t>
      </w:r>
    </w:p>
    <w:p w:rsidR="00000000" w:rsidDel="00000000" w:rsidP="00000000" w:rsidRDefault="00000000" w:rsidRPr="00000000" w14:paraId="00000080">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read </w:t>
      </w:r>
      <w:hyperlink r:id="rId24">
        <w:r w:rsidDel="00000000" w:rsidR="00000000" w:rsidRPr="00000000">
          <w:rPr>
            <w:rFonts w:ascii="Times New Roman" w:cs="Times New Roman" w:eastAsia="Times New Roman" w:hAnsi="Times New Roman"/>
            <w:b w:val="0"/>
            <w:i w:val="0"/>
            <w:smallCaps w:val="0"/>
            <w:strike w:val="0"/>
            <w:color w:val="0000ff"/>
            <w:sz w:val="22"/>
            <w:szCs w:val="22"/>
            <w:u w:val="single"/>
            <w:shd w:fill="auto" w:val="clear"/>
            <w:vertAlign w:val="baseline"/>
            <w:rtl w:val="0"/>
          </w:rPr>
          <w:t xml:space="preserve">Kamaladevi Chattopadhyay</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Our Stories: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303336"/>
          <w:sz w:val="22"/>
          <w:szCs w:val="22"/>
          <w:u w:val="none"/>
          <w:shd w:fill="auto" w:val="clear"/>
          <w:vertAlign w:val="baseline"/>
          <w:rtl w:val="0"/>
        </w:rPr>
        <w:t xml:space="preserve">An Introduction to South Asian America</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Group 2: Ram Bagai </w:t>
      </w:r>
    </w:p>
    <w:p w:rsidR="00000000" w:rsidDel="00000000" w:rsidP="00000000" w:rsidRDefault="00000000" w:rsidRPr="00000000" w14:paraId="00000083">
      <w:pPr>
        <w:keepNext w:val="0"/>
        <w:keepLines w:val="0"/>
        <w:pageBreakBefore w:val="0"/>
        <w:widowControl w:val="1"/>
        <w:numPr>
          <w:ilvl w:val="2"/>
          <w:numId w:val="3"/>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read the SAADA article </w:t>
      </w:r>
      <w:hyperlink r:id="rId25">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Your Dream Is Our Dream</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complete rows 4 or 5 in </w:t>
      </w:r>
      <w:hyperlink r:id="rId26">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South Asian Influence on the Civil Rights Movement Worksheet</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from Activity #2.</w:t>
      </w: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groups present their findings with the whole class via a PowerPoint (or Google) slide or poster. Presentations should include: a brief biography of the individual, their key actions or contributions, and their direct/indirect impacts on the Civil Rights Movement. </w:t>
      </w: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Activity 4:</w:t>
      </w:r>
      <w:r w:rsidDel="00000000" w:rsidR="00000000" w:rsidRPr="00000000">
        <w:rPr>
          <w:rFonts w:ascii="Times New Roman" w:cs="Times New Roman" w:eastAsia="Times New Roman" w:hAnsi="Times New Roman"/>
          <w:b w:val="1"/>
          <w:i w:val="1"/>
          <w:smallCaps w:val="0"/>
          <w:strike w:val="0"/>
          <w:color w:val="000000"/>
          <w:sz w:val="22"/>
          <w:szCs w:val="22"/>
          <w:u w:val="singl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A Fuller Civil Rights Movement History</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 conclude their learning by responding to an essay prompt and reflect on the larger impact of South Asian influence on the Civil Rights Movement.</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write aWn essay in response to the following prompt:</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This history of South Asian influence on the Civil Rights Movement is not widely known or taught. Using at least one example from the lesson, explain why learning about South Asian influence on the Civil Rights Movement is a meaningful part of civil rights history in the United States.</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Extension Activities</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Examining Kamala Harris’s Bi-Racial Identity as a Black and South Asian American</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Explain that while this lesson explored how South Asians influenced Black activists leading up to and during the Civil Rights Movement, we will turn to an example of these identities intersecting in one person: Vice President Kamala Harris. </w:t>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read the first five paragraphs of the SAADA article </w:t>
      </w:r>
      <w:hyperlink r:id="rId27">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The Other Kamala</w:t>
        </w:r>
      </w:hyperlink>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and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The Washington Post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article </w:t>
      </w:r>
      <w:hyperlink r:id="rId28">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“I am who I am.”</w:t>
        </w:r>
      </w:hyperlink>
      <w:r w:rsidDel="00000000" w:rsidR="00000000" w:rsidRPr="00000000">
        <w:rPr>
          <w:rtl w:val="0"/>
        </w:rPr>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Facilitate a discussion on the articles by asking the following questions:</w:t>
      </w:r>
    </w:p>
    <w:p w:rsidR="00000000" w:rsidDel="00000000" w:rsidP="00000000" w:rsidRDefault="00000000" w:rsidRPr="00000000" w14:paraId="00000098">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the ethnic backgrounds of each of Vice President Harris’s parents influence her upbringing?</w:t>
      </w:r>
    </w:p>
    <w:p w:rsidR="00000000" w:rsidDel="00000000" w:rsidP="00000000" w:rsidRDefault="00000000" w:rsidRPr="00000000" w14:paraId="00000099">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How did growing up during the Civil Rights Movement, with parents who were both active in the movement, impact Harris? </w:t>
      </w:r>
    </w:p>
    <w:p w:rsidR="00000000" w:rsidDel="00000000" w:rsidP="00000000" w:rsidRDefault="00000000" w:rsidRPr="00000000" w14:paraId="0000009A">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Why do you think Harris’s Indian heritage was not as widely known as her Black heritage?</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Exploring Shared Histories</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Explain that this lesson sought to tell part of the story of South Asian American and Black American shared histories through a few selected individuals. We will now look at a few other examples.</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0">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read the article</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hyperlink r:id="rId29">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The Secret History of South Asian &amp; African American Solidarity</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and explore the website</w:t>
      </w:r>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 </w:t>
      </w:r>
      <w:hyperlink r:id="rId30">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Black Desi Secret History</w:t>
        </w:r>
      </w:hyperlink>
      <w:r w:rsidDel="00000000" w:rsidR="00000000" w:rsidRPr="00000000">
        <w:rPr>
          <w:rFonts w:ascii="Times New Roman" w:cs="Times New Roman" w:eastAsia="Times New Roman" w:hAnsi="Times New Roman"/>
          <w:b w:val="0"/>
          <w:i w:val="0"/>
          <w:smallCaps w:val="0"/>
          <w:strike w:val="0"/>
          <w:color w:val="303336"/>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0"/>
          <w:smallCaps w:val="0"/>
          <w:strike w:val="0"/>
          <w:color w:val="3033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Facilitate a discussion on the article and website:</w:t>
      </w:r>
    </w:p>
    <w:p w:rsidR="00000000" w:rsidDel="00000000" w:rsidP="00000000" w:rsidRDefault="00000000" w:rsidRPr="00000000" w14:paraId="000000A3">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Why did the website creator Anirvan Chatterjee call this a “secret history”?</w:t>
      </w:r>
    </w:p>
    <w:p w:rsidR="00000000" w:rsidDel="00000000" w:rsidP="00000000" w:rsidRDefault="00000000" w:rsidRPr="00000000" w14:paraId="000000A4">
      <w:pPr>
        <w:keepNext w:val="0"/>
        <w:keepLines w:val="0"/>
        <w:pageBreakBefore w:val="0"/>
        <w:widowControl w:val="1"/>
        <w:numPr>
          <w:ilvl w:val="2"/>
          <w:numId w:val="6"/>
        </w:numPr>
        <w:pBdr>
          <w:top w:space="0" w:sz="0" w:val="nil"/>
          <w:left w:space="0" w:sz="0" w:val="nil"/>
          <w:bottom w:space="0" w:sz="0" w:val="nil"/>
          <w:right w:space="0" w:sz="0" w:val="nil"/>
          <w:between w:space="0" w:sz="0" w:val="nil"/>
        </w:pBdr>
        <w:shd w:fill="auto" w:val="clear"/>
        <w:spacing w:after="0" w:before="0" w:line="240" w:lineRule="auto"/>
        <w:ind w:left="2160" w:right="0" w:hanging="4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What are the benefits of learning about the shared history of solidarity between different communities? </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Have students create similar infographics based on the learnings from this lesson. Students may use digital tools such as Google Slides or Canva.</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Further Information:</w:t>
      </w:r>
      <w:r w:rsidDel="00000000" w:rsidR="00000000" w:rsidRPr="00000000">
        <w:rPr>
          <w:rtl w:val="0"/>
        </w:rPr>
      </w:r>
    </w:p>
    <w:p w:rsidR="00000000" w:rsidDel="00000000" w:rsidP="00000000" w:rsidRDefault="00000000" w:rsidRPr="00000000" w14:paraId="000000A9">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Further resources from SAADA</w:t>
      </w:r>
    </w:p>
    <w:p w:rsidR="00000000" w:rsidDel="00000000" w:rsidP="00000000" w:rsidRDefault="00000000" w:rsidRPr="00000000" w14:paraId="000000AA">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"Activist, Scholar, Dandy: Krishnalal Shridharani in the United States, 1934-1946,” by Malathi Iyengar: </w:t>
      </w:r>
      <w:hyperlink r:id="rId31">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www.saada.org/tides/article/activist-scholar-dandy</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AB">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“Translating Gandhi,” by J. Daniel Elam: </w:t>
      </w:r>
      <w:hyperlink r:id="rId32">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www.saada.org/tides/article/translating-gandhi</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Further resources from the Asian American Education Project </w:t>
      </w:r>
    </w:p>
    <w:p w:rsidR="00000000" w:rsidDel="00000000" w:rsidP="00000000" w:rsidRDefault="00000000" w:rsidRPr="00000000" w14:paraId="000000AE">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“Building Community Consciousness and Coalitions”: </w:t>
      </w:r>
      <w:hyperlink r:id="rId33">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https://asianamericanedu.org/building-community-consciousness-and-coalitions.html#</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AF">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“Immigration and Nationality Act of 1965 – Civil Rights Movement Era”: </w:t>
      </w:r>
      <w:hyperlink r:id="rId34">
        <w:r w:rsidDel="00000000" w:rsidR="00000000" w:rsidRPr="00000000">
          <w:rPr>
            <w:rFonts w:ascii="Times New Roman" w:cs="Times New Roman" w:eastAsia="Times New Roman" w:hAnsi="Times New Roman"/>
            <w:b w:val="0"/>
            <w:i w:val="0"/>
            <w:smallCaps w:val="0"/>
            <w:strike w:val="0"/>
            <w:color w:val="1155cc"/>
            <w:sz w:val="22"/>
            <w:szCs w:val="22"/>
            <w:u w:val="single"/>
            <w:shd w:fill="auto" w:val="clear"/>
            <w:vertAlign w:val="baseline"/>
            <w:rtl w:val="0"/>
          </w:rPr>
          <w:t xml:space="preserve">asianamericanedu.org/immigration.html</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sectPr>
      <w:headerReference r:id="rId35" w:type="default"/>
      <w:headerReference r:id="rId36" w:type="first"/>
      <w:footerReference r:id="rId37" w:type="default"/>
      <w:footerReference r:id="rId38"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0" distR="0">
          <wp:extent cx="445301" cy="502634"/>
          <wp:effectExtent b="0" l="0" r="0" t="0"/>
          <wp:docPr descr="image1.png" id="1" name="image1.png"/>
          <a:graphic>
            <a:graphicData uri="http://schemas.openxmlformats.org/drawingml/2006/picture">
              <pic:pic>
                <pic:nvPicPr>
                  <pic:cNvPr descr="image1.png"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0" distR="0">
          <wp:extent cx="445301" cy="502634"/>
          <wp:effectExtent b="0" l="0" r="0" t="0"/>
          <wp:docPr descr="image1.png" id="2" name="image1.png"/>
          <a:graphic>
            <a:graphicData uri="http://schemas.openxmlformats.org/drawingml/2006/picture">
              <pic:pic>
                <pic:nvPicPr>
                  <pic:cNvPr descr="image1.png"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1"/>
        <w:smallCaps w:val="0"/>
        <w:strike w:val="0"/>
        <w:color w:val="222222"/>
        <w:sz w:val="14"/>
        <w:szCs w:val="14"/>
        <w:highlight w:val="white"/>
        <w:u w:val="none"/>
        <w:vertAlign w:val="baseline"/>
        <w:rtl w:val="0"/>
      </w:rPr>
      <w:t xml:space="preserve">This content was created in collaboration with the South Asian American Digital Archive (SAADA). All lesson plan content is owned by</w:t>
      <w:br w:type="textWrapping"/>
      <w:t xml:space="preserve">The Asian American Education Project (AAEdu). As such, users agree to attribute all work to The Asian American Education Project and </w:t>
      <w:br w:type="textWrapping"/>
      <w:t xml:space="preserve">South Asian American Digital Archive.</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smallCaps w:val="0"/>
        <w:strike w:val="0"/>
        <w:shd w:fill="auto" w:val="clear"/>
        <w:vertAlign w:val="baseline"/>
      </w:rPr>
    </w:lvl>
    <w:lvl w:ilvl="1">
      <w:start w:val="1"/>
      <w:numFmt w:val="decimal"/>
      <w:lvlText w:val="%2."/>
      <w:lvlJc w:val="left"/>
      <w:pPr>
        <w:ind w:left="1080" w:hanging="360"/>
      </w:pPr>
      <w:rPr>
        <w:smallCaps w:val="0"/>
        <w:strike w:val="0"/>
        <w:shd w:fill="auto" w:val="clear"/>
        <w:vertAlign w:val="baseline"/>
      </w:rPr>
    </w:lvl>
    <w:lvl w:ilvl="2">
      <w:start w:val="1"/>
      <w:numFmt w:val="decimal"/>
      <w:lvlText w:val="%3."/>
      <w:lvlJc w:val="left"/>
      <w:pPr>
        <w:ind w:left="1800" w:hanging="360"/>
      </w:pPr>
      <w:rPr>
        <w:smallCaps w:val="0"/>
        <w:strike w:val="0"/>
        <w:shd w:fill="auto" w:val="clear"/>
        <w:vertAlign w:val="baseline"/>
      </w:rPr>
    </w:lvl>
    <w:lvl w:ilvl="3">
      <w:start w:val="1"/>
      <w:numFmt w:val="decimal"/>
      <w:lvlText w:val="%4."/>
      <w:lvlJc w:val="left"/>
      <w:pPr>
        <w:ind w:left="2520" w:hanging="360"/>
      </w:pPr>
      <w:rPr>
        <w:smallCaps w:val="0"/>
        <w:strike w:val="0"/>
        <w:shd w:fill="auto" w:val="clear"/>
        <w:vertAlign w:val="baseline"/>
      </w:rPr>
    </w:lvl>
    <w:lvl w:ilvl="4">
      <w:start w:val="1"/>
      <w:numFmt w:val="decimal"/>
      <w:lvlText w:val="%5."/>
      <w:lvlJc w:val="left"/>
      <w:pPr>
        <w:ind w:left="3240" w:hanging="360"/>
      </w:pPr>
      <w:rPr>
        <w:smallCaps w:val="0"/>
        <w:strike w:val="0"/>
        <w:shd w:fill="auto" w:val="clear"/>
        <w:vertAlign w:val="baseline"/>
      </w:rPr>
    </w:lvl>
    <w:lvl w:ilvl="5">
      <w:start w:val="1"/>
      <w:numFmt w:val="decimal"/>
      <w:lvlText w:val="%6."/>
      <w:lvlJc w:val="left"/>
      <w:pPr>
        <w:ind w:left="3960" w:hanging="360"/>
      </w:pPr>
      <w:rPr>
        <w:smallCaps w:val="0"/>
        <w:strike w:val="0"/>
        <w:shd w:fill="auto" w:val="clear"/>
        <w:vertAlign w:val="baseline"/>
      </w:rPr>
    </w:lvl>
    <w:lvl w:ilvl="6">
      <w:start w:val="1"/>
      <w:numFmt w:val="decimal"/>
      <w:lvlText w:val="%7."/>
      <w:lvlJc w:val="left"/>
      <w:pPr>
        <w:ind w:left="4680" w:hanging="360"/>
      </w:pPr>
      <w:rPr>
        <w:smallCaps w:val="0"/>
        <w:strike w:val="0"/>
        <w:shd w:fill="auto" w:val="clear"/>
        <w:vertAlign w:val="baseline"/>
      </w:rPr>
    </w:lvl>
    <w:lvl w:ilvl="7">
      <w:start w:val="1"/>
      <w:numFmt w:val="decimal"/>
      <w:lvlText w:val="%8."/>
      <w:lvlJc w:val="left"/>
      <w:pPr>
        <w:ind w:left="5400" w:hanging="360"/>
      </w:pPr>
      <w:rPr>
        <w:smallCaps w:val="0"/>
        <w:strike w:val="0"/>
        <w:shd w:fill="auto" w:val="clear"/>
        <w:vertAlign w:val="baseline"/>
      </w:rPr>
    </w:lvl>
    <w:lvl w:ilvl="8">
      <w:start w:val="1"/>
      <w:numFmt w:val="decimal"/>
      <w:lvlText w:val="%9."/>
      <w:lvlJc w:val="left"/>
      <w:pPr>
        <w:ind w:left="6120" w:hanging="360"/>
      </w:pPr>
      <w:rPr>
        <w:smallCaps w:val="0"/>
        <w:strike w:val="0"/>
        <w:shd w:fill="auto" w:val="clear"/>
        <w:vertAlign w:val="baseline"/>
      </w:rPr>
    </w:lvl>
  </w:abstractNum>
  <w:abstractNum w:abstractNumId="2">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470"/>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470"/>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470"/>
      </w:pPr>
      <w:rPr>
        <w:smallCaps w:val="0"/>
        <w:strike w:val="0"/>
        <w:shd w:fill="auto" w:val="clear"/>
        <w:vertAlign w:val="baseline"/>
      </w:rPr>
    </w:lvl>
  </w:abstractNum>
  <w:abstractNum w:abstractNumId="3">
    <w:lvl w:ilvl="0">
      <w:start w:val="1"/>
      <w:numFmt w:val="decimal"/>
      <w:lvlText w:val="%1."/>
      <w:lvlJc w:val="left"/>
      <w:pPr>
        <w:ind w:left="720" w:hanging="360"/>
      </w:pPr>
      <w:rPr>
        <w:rFonts w:ascii="Times New Roman" w:cs="Times New Roman" w:eastAsia="Times New Roman" w:hAnsi="Times New Roman"/>
        <w:b w:val="0"/>
        <w:i w:val="0"/>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470"/>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470"/>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470"/>
      </w:pPr>
      <w:rPr>
        <w:smallCaps w:val="0"/>
        <w:strike w:val="0"/>
        <w:shd w:fill="auto" w:val="clear"/>
        <w:vertAlign w:val="baseline"/>
      </w:rPr>
    </w:lvl>
  </w:abstractNum>
  <w:abstractNum w:abstractNumId="4">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470"/>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470"/>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470"/>
      </w:pPr>
      <w:rPr>
        <w:smallCaps w:val="0"/>
        <w:strike w:val="0"/>
        <w:shd w:fill="auto" w:val="clear"/>
        <w:vertAlign w:val="baseline"/>
      </w:rPr>
    </w:lvl>
  </w:abstractNum>
  <w:abstractNum w:abstractNumId="5">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470"/>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470"/>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470"/>
      </w:pPr>
      <w:rPr>
        <w:smallCaps w:val="0"/>
        <w:strike w:val="0"/>
        <w:shd w:fill="auto" w:val="clear"/>
        <w:vertAlign w:val="baseline"/>
      </w:rPr>
    </w:lvl>
  </w:abstractNum>
  <w:abstractNum w:abstractNumId="6">
    <w:lvl w:ilvl="0">
      <w:start w:val="1"/>
      <w:numFmt w:val="decimal"/>
      <w:lvlText w:val="%1."/>
      <w:lvlJc w:val="left"/>
      <w:pPr>
        <w:ind w:left="720" w:hanging="360"/>
      </w:pPr>
      <w:rPr>
        <w:b w:val="1"/>
        <w:smallCaps w:val="0"/>
        <w:strike w:val="0"/>
        <w:shd w:fill="auto" w:val="clear"/>
        <w:vertAlign w:val="baseline"/>
      </w:rPr>
    </w:lvl>
    <w:lvl w:ilvl="1">
      <w:start w:val="1"/>
      <w:numFmt w:val="lowerLetter"/>
      <w:lvlText w:val="%2."/>
      <w:lvlJc w:val="left"/>
      <w:pPr>
        <w:ind w:left="1440" w:hanging="360"/>
      </w:pPr>
      <w:rPr>
        <w:b w:val="1"/>
        <w:smallCaps w:val="0"/>
        <w:strike w:val="0"/>
        <w:shd w:fill="auto" w:val="clear"/>
        <w:vertAlign w:val="baseline"/>
      </w:rPr>
    </w:lvl>
    <w:lvl w:ilvl="2">
      <w:start w:val="1"/>
      <w:numFmt w:val="lowerRoman"/>
      <w:lvlText w:val="%3."/>
      <w:lvlJc w:val="left"/>
      <w:pPr>
        <w:ind w:left="2160" w:hanging="470"/>
      </w:pPr>
      <w:rPr>
        <w:b w:val="1"/>
        <w:smallCaps w:val="0"/>
        <w:strike w:val="0"/>
        <w:shd w:fill="auto" w:val="clear"/>
        <w:vertAlign w:val="baseline"/>
      </w:rPr>
    </w:lvl>
    <w:lvl w:ilvl="3">
      <w:start w:val="1"/>
      <w:numFmt w:val="decimal"/>
      <w:lvlText w:val="%4."/>
      <w:lvlJc w:val="left"/>
      <w:pPr>
        <w:ind w:left="2880" w:hanging="360"/>
      </w:pPr>
      <w:rPr>
        <w:b w:val="1"/>
        <w:smallCaps w:val="0"/>
        <w:strike w:val="0"/>
        <w:shd w:fill="auto" w:val="clear"/>
        <w:vertAlign w:val="baseline"/>
      </w:rPr>
    </w:lvl>
    <w:lvl w:ilvl="4">
      <w:start w:val="1"/>
      <w:numFmt w:val="lowerLetter"/>
      <w:lvlText w:val="%5."/>
      <w:lvlJc w:val="left"/>
      <w:pPr>
        <w:ind w:left="3600" w:hanging="360"/>
      </w:pPr>
      <w:rPr>
        <w:b w:val="1"/>
        <w:smallCaps w:val="0"/>
        <w:strike w:val="0"/>
        <w:shd w:fill="auto" w:val="clear"/>
        <w:vertAlign w:val="baseline"/>
      </w:rPr>
    </w:lvl>
    <w:lvl w:ilvl="5">
      <w:start w:val="1"/>
      <w:numFmt w:val="lowerRoman"/>
      <w:lvlText w:val="%6."/>
      <w:lvlJc w:val="left"/>
      <w:pPr>
        <w:ind w:left="4320" w:hanging="470"/>
      </w:pPr>
      <w:rPr>
        <w:b w:val="1"/>
        <w:smallCaps w:val="0"/>
        <w:strike w:val="0"/>
        <w:shd w:fill="auto" w:val="clear"/>
        <w:vertAlign w:val="baseline"/>
      </w:rPr>
    </w:lvl>
    <w:lvl w:ilvl="6">
      <w:start w:val="1"/>
      <w:numFmt w:val="decimal"/>
      <w:lvlText w:val="%7."/>
      <w:lvlJc w:val="left"/>
      <w:pPr>
        <w:ind w:left="5040" w:hanging="360"/>
      </w:pPr>
      <w:rPr>
        <w:b w:val="1"/>
        <w:smallCaps w:val="0"/>
        <w:strike w:val="0"/>
        <w:shd w:fill="auto" w:val="clear"/>
        <w:vertAlign w:val="baseline"/>
      </w:rPr>
    </w:lvl>
    <w:lvl w:ilvl="7">
      <w:start w:val="1"/>
      <w:numFmt w:val="lowerLetter"/>
      <w:lvlText w:val="%8."/>
      <w:lvlJc w:val="left"/>
      <w:pPr>
        <w:ind w:left="5760" w:hanging="360"/>
      </w:pPr>
      <w:rPr>
        <w:b w:val="1"/>
        <w:smallCaps w:val="0"/>
        <w:strike w:val="0"/>
        <w:shd w:fill="auto" w:val="clear"/>
        <w:vertAlign w:val="baseline"/>
      </w:rPr>
    </w:lvl>
    <w:lvl w:ilvl="8">
      <w:start w:val="1"/>
      <w:numFmt w:val="lowerRoman"/>
      <w:lvlText w:val="%9."/>
      <w:lvlJc w:val="left"/>
      <w:pPr>
        <w:ind w:left="6480" w:hanging="470"/>
      </w:pPr>
      <w:rPr>
        <w:b w:val="1"/>
        <w:smallCaps w:val="0"/>
        <w:strike w:val="0"/>
        <w:shd w:fill="auto" w:val="clear"/>
        <w:vertAlign w:val="baseline"/>
      </w:rPr>
    </w:lvl>
  </w:abstractNum>
  <w:abstractNum w:abstractNumId="7">
    <w:lvl w:ilvl="0">
      <w:start w:val="1"/>
      <w:numFmt w:val="decimal"/>
      <w:lvlText w:val="%1."/>
      <w:lvlJc w:val="left"/>
      <w:pPr>
        <w:ind w:left="720" w:hanging="360"/>
      </w:pPr>
      <w:rPr>
        <w:smallCaps w:val="0"/>
        <w:strike w:val="0"/>
        <w:shd w:fill="auto" w:val="clear"/>
        <w:vertAlign w:val="baseline"/>
      </w:rPr>
    </w:lvl>
    <w:lvl w:ilvl="1">
      <w:start w:val="1"/>
      <w:numFmt w:val="lowerLetter"/>
      <w:lvlText w:val="%2."/>
      <w:lvlJc w:val="left"/>
      <w:pPr>
        <w:ind w:left="1440" w:hanging="360"/>
      </w:pPr>
      <w:rPr>
        <w:smallCaps w:val="0"/>
        <w:strike w:val="0"/>
        <w:shd w:fill="auto" w:val="clear"/>
        <w:vertAlign w:val="baseline"/>
      </w:rPr>
    </w:lvl>
    <w:lvl w:ilvl="2">
      <w:start w:val="1"/>
      <w:numFmt w:val="lowerRoman"/>
      <w:lvlText w:val="%3."/>
      <w:lvlJc w:val="left"/>
      <w:pPr>
        <w:ind w:left="2160" w:hanging="470"/>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470"/>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470"/>
      </w:pPr>
      <w:rPr>
        <w:smallCaps w:val="0"/>
        <w:strike w:val="0"/>
        <w:shd w:fill="auto" w:val="clear"/>
        <w:vertAlign w:val="baseline"/>
      </w:rPr>
    </w:lvl>
  </w:abstractNum>
  <w:abstractNum w:abstractNumId="8">
    <w:lvl w:ilvl="0">
      <w:start w:val="1"/>
      <w:numFmt w:val="bullet"/>
      <w:lvlText w:val="●"/>
      <w:lvlJc w:val="left"/>
      <w:pPr>
        <w:ind w:left="720" w:hanging="360"/>
      </w:pPr>
      <w:rPr>
        <w:smallCaps w:val="0"/>
        <w:strike w:val="0"/>
        <w:shd w:fill="auto" w:val="clear"/>
        <w:vertAlign w:val="baseline"/>
      </w:rPr>
    </w:lvl>
    <w:lvl w:ilvl="1">
      <w:start w:val="1"/>
      <w:numFmt w:val="bullet"/>
      <w:lvlText w:val="○"/>
      <w:lvlJc w:val="left"/>
      <w:pPr>
        <w:ind w:left="1440" w:hanging="360"/>
      </w:pPr>
      <w:rPr>
        <w:smallCaps w:val="0"/>
        <w:strike w:val="0"/>
        <w:shd w:fill="auto" w:val="clear"/>
        <w:vertAlign w:val="baseline"/>
      </w:rPr>
    </w:lvl>
    <w:lvl w:ilvl="2">
      <w:start w:val="1"/>
      <w:numFmt w:val="bullet"/>
      <w:lvlText w:val="■"/>
      <w:lvlJc w:val="left"/>
      <w:pPr>
        <w:ind w:left="2160" w:hanging="360"/>
      </w:pPr>
      <w:rPr>
        <w:smallCaps w:val="0"/>
        <w:strike w:val="0"/>
        <w:shd w:fill="auto" w:val="clear"/>
        <w:vertAlign w:val="baseline"/>
      </w:rPr>
    </w:lvl>
    <w:lvl w:ilvl="3">
      <w:start w:val="1"/>
      <w:numFmt w:val="bullet"/>
      <w:lvlText w:val="●"/>
      <w:lvlJc w:val="left"/>
      <w:pPr>
        <w:ind w:left="2880" w:hanging="360"/>
      </w:pPr>
      <w:rPr>
        <w:smallCaps w:val="0"/>
        <w:strike w:val="0"/>
        <w:shd w:fill="auto" w:val="clear"/>
        <w:vertAlign w:val="baseline"/>
      </w:rPr>
    </w:lvl>
    <w:lvl w:ilvl="4">
      <w:start w:val="1"/>
      <w:numFmt w:val="bullet"/>
      <w:lvlText w:val="○"/>
      <w:lvlJc w:val="left"/>
      <w:pPr>
        <w:ind w:left="3600" w:hanging="360"/>
      </w:pPr>
      <w:rPr>
        <w:smallCaps w:val="0"/>
        <w:strike w:val="0"/>
        <w:shd w:fill="auto" w:val="clear"/>
        <w:vertAlign w:val="baseline"/>
      </w:rPr>
    </w:lvl>
    <w:lvl w:ilvl="5">
      <w:start w:val="1"/>
      <w:numFmt w:val="bullet"/>
      <w:lvlText w:val="■"/>
      <w:lvlJc w:val="left"/>
      <w:pPr>
        <w:ind w:left="4320" w:hanging="360"/>
      </w:pPr>
      <w:rPr>
        <w:smallCaps w:val="0"/>
        <w:strike w:val="0"/>
        <w:shd w:fill="auto" w:val="clear"/>
        <w:vertAlign w:val="baseline"/>
      </w:rPr>
    </w:lvl>
    <w:lvl w:ilvl="6">
      <w:start w:val="1"/>
      <w:numFmt w:val="bullet"/>
      <w:lvlText w:val="●"/>
      <w:lvlJc w:val="left"/>
      <w:pPr>
        <w:ind w:left="5040" w:hanging="360"/>
      </w:pPr>
      <w:rPr>
        <w:smallCaps w:val="0"/>
        <w:strike w:val="0"/>
        <w:shd w:fill="auto" w:val="clear"/>
        <w:vertAlign w:val="baseline"/>
      </w:rPr>
    </w:lvl>
    <w:lvl w:ilvl="7">
      <w:start w:val="1"/>
      <w:numFmt w:val="bullet"/>
      <w:lvlText w:val="○"/>
      <w:lvlJc w:val="left"/>
      <w:pPr>
        <w:ind w:left="5760" w:hanging="360"/>
      </w:pPr>
      <w:rPr>
        <w:smallCaps w:val="0"/>
        <w:strike w:val="0"/>
        <w:shd w:fill="auto" w:val="clear"/>
        <w:vertAlign w:val="baseline"/>
      </w:rPr>
    </w:lvl>
    <w:lvl w:ilvl="8">
      <w:start w:val="1"/>
      <w:numFmt w:val="bullet"/>
      <w:lvlText w:val="■"/>
      <w:lvlJc w:val="left"/>
      <w:pPr>
        <w:ind w:left="6480" w:hanging="360"/>
      </w:pPr>
      <w:rPr>
        <w:smallCaps w:val="0"/>
        <w:strike w:val="0"/>
        <w:shd w:fill="auto" w:val="clear"/>
        <w:vertAlign w:val="baseline"/>
      </w:rPr>
    </w:lvl>
  </w:abstractNum>
  <w:abstractNum w:abstractNumId="9">
    <w:lvl w:ilvl="0">
      <w:start w:val="1"/>
      <w:numFmt w:val="bullet"/>
      <w:lvlText w:val="●"/>
      <w:lvlJc w:val="left"/>
      <w:pPr>
        <w:ind w:left="720" w:hanging="360"/>
      </w:pPr>
      <w:rPr>
        <w:smallCaps w:val="0"/>
        <w:strike w:val="0"/>
        <w:shd w:fill="auto" w:val="clear"/>
        <w:vertAlign w:val="baseline"/>
      </w:rPr>
    </w:lvl>
    <w:lvl w:ilvl="1">
      <w:start w:val="1"/>
      <w:numFmt w:val="bullet"/>
      <w:lvlText w:val="○"/>
      <w:lvlJc w:val="left"/>
      <w:pPr>
        <w:ind w:left="1440" w:hanging="360"/>
      </w:pPr>
      <w:rPr>
        <w:smallCaps w:val="0"/>
        <w:strike w:val="0"/>
        <w:shd w:fill="auto" w:val="clear"/>
        <w:vertAlign w:val="baseline"/>
      </w:rPr>
    </w:lvl>
    <w:lvl w:ilvl="2">
      <w:start w:val="1"/>
      <w:numFmt w:val="bullet"/>
      <w:lvlText w:val="■"/>
      <w:lvlJc w:val="left"/>
      <w:pPr>
        <w:ind w:left="2160" w:hanging="360"/>
      </w:pPr>
      <w:rPr>
        <w:smallCaps w:val="0"/>
        <w:strike w:val="0"/>
        <w:shd w:fill="auto" w:val="clear"/>
        <w:vertAlign w:val="baseline"/>
      </w:rPr>
    </w:lvl>
    <w:lvl w:ilvl="3">
      <w:start w:val="1"/>
      <w:numFmt w:val="bullet"/>
      <w:lvlText w:val="●"/>
      <w:lvlJc w:val="left"/>
      <w:pPr>
        <w:ind w:left="2880" w:hanging="360"/>
      </w:pPr>
      <w:rPr>
        <w:smallCaps w:val="0"/>
        <w:strike w:val="0"/>
        <w:shd w:fill="auto" w:val="clear"/>
        <w:vertAlign w:val="baseline"/>
      </w:rPr>
    </w:lvl>
    <w:lvl w:ilvl="4">
      <w:start w:val="1"/>
      <w:numFmt w:val="bullet"/>
      <w:lvlText w:val="○"/>
      <w:lvlJc w:val="left"/>
      <w:pPr>
        <w:ind w:left="3600" w:hanging="360"/>
      </w:pPr>
      <w:rPr>
        <w:smallCaps w:val="0"/>
        <w:strike w:val="0"/>
        <w:shd w:fill="auto" w:val="clear"/>
        <w:vertAlign w:val="baseline"/>
      </w:rPr>
    </w:lvl>
    <w:lvl w:ilvl="5">
      <w:start w:val="1"/>
      <w:numFmt w:val="bullet"/>
      <w:lvlText w:val="■"/>
      <w:lvlJc w:val="left"/>
      <w:pPr>
        <w:ind w:left="4320" w:hanging="360"/>
      </w:pPr>
      <w:rPr>
        <w:smallCaps w:val="0"/>
        <w:strike w:val="0"/>
        <w:shd w:fill="auto" w:val="clear"/>
        <w:vertAlign w:val="baseline"/>
      </w:rPr>
    </w:lvl>
    <w:lvl w:ilvl="6">
      <w:start w:val="1"/>
      <w:numFmt w:val="bullet"/>
      <w:lvlText w:val="●"/>
      <w:lvlJc w:val="left"/>
      <w:pPr>
        <w:ind w:left="5040" w:hanging="360"/>
      </w:pPr>
      <w:rPr>
        <w:smallCaps w:val="0"/>
        <w:strike w:val="0"/>
        <w:shd w:fill="auto" w:val="clear"/>
        <w:vertAlign w:val="baseline"/>
      </w:rPr>
    </w:lvl>
    <w:lvl w:ilvl="7">
      <w:start w:val="1"/>
      <w:numFmt w:val="bullet"/>
      <w:lvlText w:val="○"/>
      <w:lvlJc w:val="left"/>
      <w:pPr>
        <w:ind w:left="5760" w:hanging="360"/>
      </w:pPr>
      <w:rPr>
        <w:smallCaps w:val="0"/>
        <w:strike w:val="0"/>
        <w:shd w:fill="auto" w:val="clear"/>
        <w:vertAlign w:val="baseline"/>
      </w:rPr>
    </w:lvl>
    <w:lvl w:ilvl="8">
      <w:start w:val="1"/>
      <w:numFmt w:val="bullet"/>
      <w:lvlText w:val="■"/>
      <w:lvlJc w:val="left"/>
      <w:pPr>
        <w:ind w:left="6480" w:hanging="360"/>
      </w:pPr>
      <w:rPr>
        <w:smallCaps w:val="0"/>
        <w:strike w:val="0"/>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z6fU6YaZ8QbuvMTPgkLnlFz_mMQdT09xnW5Z2_RGaok/edit?usp=drive_link" TargetMode="External"/><Relationship Id="rId22" Type="http://schemas.openxmlformats.org/officeDocument/2006/relationships/hyperlink" Target="http://www.pz.harvard.edu/sites/default/files/The%25204%2520Cs_1.pdf" TargetMode="External"/><Relationship Id="rId21" Type="http://schemas.openxmlformats.org/officeDocument/2006/relationships/hyperlink" Target="https://docs.google.com/document/d/1QjrNl-OxV2xZEZ3teEDQWnMPQJRfhdTU0UgsQDzD6w0/edit?usp=sharing" TargetMode="External"/><Relationship Id="rId24" Type="http://schemas.openxmlformats.org/officeDocument/2006/relationships/hyperlink" Target="https://docs.google.com/document/d/1NGAEYYFsje82BFzmOihxN5ssFt1B7LaqYfbU6AL4iXQ/edit" TargetMode="External"/><Relationship Id="rId23" Type="http://schemas.openxmlformats.org/officeDocument/2006/relationships/hyperlink" Target="https://docs.google.com/document/d/1yxw3nmYLDlYHwgsKjVW6uDXJJza6nuyajNqgUahDV8Y/edit?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jstor.org/stable/40981775" TargetMode="External"/><Relationship Id="rId26" Type="http://schemas.openxmlformats.org/officeDocument/2006/relationships/hyperlink" Target="https://docs.google.com/document/d/1yxw3nmYLDlYHwgsKjVW6uDXJJza6nuyajNqgUahDV8Y/edit?usp=sharing" TargetMode="External"/><Relationship Id="rId25" Type="http://schemas.openxmlformats.org/officeDocument/2006/relationships/hyperlink" Target="https://www.saada.org/tides/article/your-dream-is-our-dream" TargetMode="External"/><Relationship Id="rId28" Type="http://schemas.openxmlformats.org/officeDocument/2006/relationships/hyperlink" Target="https://www.washingtonpost.com/politics/i-am-who-i-am-kamala-harris-daughter-of-indian-and-jamaican-immigrants-defines-herself-simply-as-american/2019/02/02/0b278536-24b7-11e9-ad53-824486280311_story.html" TargetMode="External"/><Relationship Id="rId27" Type="http://schemas.openxmlformats.org/officeDocument/2006/relationships/hyperlink" Target="https://www.saada.org/tides/article/the-other-kamala"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nbcnews.com/news/asian-america/secret-history-south-asian-african-american-solidarity-n300251" TargetMode="External"/><Relationship Id="rId7" Type="http://schemas.openxmlformats.org/officeDocument/2006/relationships/hyperlink" Target="https://kinginstitute.stanford.edu/encyclopedia/congress-racial-equality-core" TargetMode="External"/><Relationship Id="rId8" Type="http://schemas.openxmlformats.org/officeDocument/2006/relationships/hyperlink" Target="https://www.saada.org/tides/article/translating-gandhi" TargetMode="External"/><Relationship Id="rId31" Type="http://schemas.openxmlformats.org/officeDocument/2006/relationships/hyperlink" Target="https://www.saada.org/tides/article/activist-scholar-dandy" TargetMode="External"/><Relationship Id="rId30" Type="http://schemas.openxmlformats.org/officeDocument/2006/relationships/hyperlink" Target="https://blackdesisecrethistory.org/" TargetMode="External"/><Relationship Id="rId11" Type="http://schemas.openxmlformats.org/officeDocument/2006/relationships/hyperlink" Target="https://www.history.com/topics/india/salt-march" TargetMode="External"/><Relationship Id="rId33" Type="http://schemas.openxmlformats.org/officeDocument/2006/relationships/hyperlink" Target="https://asianamericanedu.org/building-community-consciousness-and-coalitions.html" TargetMode="External"/><Relationship Id="rId10" Type="http://schemas.openxmlformats.org/officeDocument/2006/relationships/hyperlink" Target="https://thekingcenter.org/about-tkc/glossary-of-nonviolence/" TargetMode="External"/><Relationship Id="rId32" Type="http://schemas.openxmlformats.org/officeDocument/2006/relationships/hyperlink" Target="https://www.saada.org/tides/article/translating-gandhi" TargetMode="External"/><Relationship Id="rId13" Type="http://schemas.openxmlformats.org/officeDocument/2006/relationships/hyperlink" Target="https://timesmachine.nytimes.com/timesmachine/1960/07/24/99764348.html?pageNumber=64" TargetMode="External"/><Relationship Id="rId35" Type="http://schemas.openxmlformats.org/officeDocument/2006/relationships/header" Target="header2.xml"/><Relationship Id="rId12" Type="http://schemas.openxmlformats.org/officeDocument/2006/relationships/hyperlink" Target="https://www.saada.org/tides/article/activist-scholar-dandy" TargetMode="External"/><Relationship Id="rId34" Type="http://schemas.openxmlformats.org/officeDocument/2006/relationships/hyperlink" Target="https://asianamericanedu.org/immigration.html" TargetMode="External"/><Relationship Id="rId15" Type="http://schemas.openxmlformats.org/officeDocument/2006/relationships/hyperlink" Target="https://www.saada.org/tides/article/your-dream-is-our-dream" TargetMode="External"/><Relationship Id="rId37" Type="http://schemas.openxmlformats.org/officeDocument/2006/relationships/footer" Target="footer2.xml"/><Relationship Id="rId14" Type="http://schemas.openxmlformats.org/officeDocument/2006/relationships/hyperlink" Target="https://www.news9live.com/art-culture/gandhi-statue-union-square-new-york-city-defaced-vandalised-bayard-rustin-martin-luther-king-jr-american-civil-rights-152479" TargetMode="External"/><Relationship Id="rId36" Type="http://schemas.openxmlformats.org/officeDocument/2006/relationships/header" Target="header1.xml"/><Relationship Id="rId17" Type="http://schemas.openxmlformats.org/officeDocument/2006/relationships/hyperlink" Target="https://thekingcenter.org/about-tkc/glossary-of-nonviolence/" TargetMode="External"/><Relationship Id="rId16" Type="http://schemas.openxmlformats.org/officeDocument/2006/relationships/hyperlink" Target="https://www.journals.uchicago.edu/doi/10.2307/2715843" TargetMode="External"/><Relationship Id="rId38" Type="http://schemas.openxmlformats.org/officeDocument/2006/relationships/footer" Target="footer1.xml"/><Relationship Id="rId19" Type="http://schemas.openxmlformats.org/officeDocument/2006/relationships/hyperlink" Target="https://thekingcenter.org/about-tkc/glossary-of-nonviolence/" TargetMode="External"/><Relationship Id="rId18" Type="http://schemas.openxmlformats.org/officeDocument/2006/relationships/hyperlink" Target="https://youtu.be/xySQcFpNEto"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SnR/cYyRBWlPf38oAVcnq1ptRA==">CgMxLjAyCGguZ2pkZ3hzOAByITF6UWlfbThRMG56eDl3OTB2bW1fWktqOVdONlRsMkd4cQ==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